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Cs w:val="26"/>
        </w:rPr>
      </w:pPr>
      <w:r>
        <w:rPr/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 №  </w:t>
      </w:r>
      <w:r>
        <w:rPr>
          <w:rFonts w:ascii="Times New Roman" w:hAnsi="Times New Roman"/>
          <w:sz w:val="28"/>
          <w:szCs w:val="28"/>
        </w:rPr>
        <w:t>78/1002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Урусова Руслана Хамзетовича кандидатом в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депутаты Совета муниципального образования Успенский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район Краснодарского края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о трехмандатному избирательному округу № 1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>Рассмотрев документы Урусова Руслана Хамзетовича,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1,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>1. Зарегистрировать Урусова Руслана Хамзетовича, 1964 года рождения, работающего  в  муниципальном  бюджетном учреждении «Урупский сельский дом культуры» администрации Урупского сельского поселения Успенского района, рабочим по зданию,  выдвинутого в порядке самовыдвижения кандидатом в депутаты Совета муниципального образования Успенский муниципальный район  по трехмандатному избирательному округу № 1  11 июля 2025года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>2. Вручить Урусову Руслану Хамзетовичу  уд</w:t>
      </w:r>
      <w:r>
        <w:rPr>
          <w:sz w:val="28"/>
          <w:szCs w:val="28"/>
        </w:rPr>
        <w:t>остоверение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«Рассвет»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Плохутину Ю.С</w:t>
      </w:r>
      <w:r>
        <w:rPr>
          <w:sz w:val="28"/>
          <w:szCs w:val="28"/>
        </w:rPr>
        <w:t>.</w:t>
      </w:r>
    </w:p>
    <w:p>
      <w:pPr>
        <w:pStyle w:val="Normal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 xml:space="preserve">     </w:t>
        <w:tab/>
        <w:tab/>
        <w:t xml:space="preserve">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Ю.С.Плохутина</w:t>
      </w:r>
    </w:p>
    <w:sectPr>
      <w:type w:val="nextPage"/>
      <w:pgSz w:w="11906" w:h="16838"/>
      <w:pgMar w:left="1380" w:right="85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LibreOffice/7.3.7.2$Linux_X86_64 LibreOffice_project/30$Build-2</Application>
  <AppVersion>15.0000</AppVersion>
  <Pages>2</Pages>
  <Words>266</Words>
  <Characters>1929</Characters>
  <CharactersWithSpaces>2244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2025-07-09T11:26:00Z</dcterms:created>
  <dc:creator>Админ</dc:creator>
  <dc:description/>
  <dc:language>ru-RU</dc:language>
  <cp:lastModifiedBy/>
  <cp:lastPrinted>2025-07-14T12:24:54Z</cp:lastPrinted>
  <dcterms:modified xsi:type="dcterms:W3CDTF">2025-07-14T12:37:46Z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